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kern w:val="0"/>
                <w:sz w:val="21"/>
                <w:szCs w:val="21"/>
              </w:rPr>
            </w:pPr>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kern w:val="0"/>
                <w:sz w:val="21"/>
                <w:szCs w:val="21"/>
              </w:rPr>
            </w:pPr>
            <w:bookmarkStart w:id="0" w:name="ICS"/>
            <w:r>
              <w:rPr>
                <w:rFonts w:ascii="黑体" w:hAnsi="黑体" w:eastAsia="黑体"/>
                <w:kern w:val="0"/>
                <w:sz w:val="21"/>
                <w:szCs w:val="21"/>
              </w:rPr>
              <w:fldChar w:fldCharType="begin">
                <w:ffData>
                  <w:name w:val="ICS"/>
                  <w:enabled/>
                  <w:calcOnExit w:val="0"/>
                  <w:textInput>
                    <w:default w:val="点击此处添加I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 xml:space="preserve"> </w:t>
            </w:r>
            <w:r>
              <w:rPr>
                <w:rFonts w:ascii="黑体" w:hAnsi="黑体"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bookmarkStart w:id="1" w:name="CSDN"/>
            <w:r>
              <w:rPr>
                <w:rFonts w:ascii="黑体" w:hAnsi="黑体" w:eastAsia="黑体"/>
                <w:kern w:val="0"/>
                <w:sz w:val="21"/>
                <w:szCs w:val="21"/>
              </w:rPr>
              <w:fldChar w:fldCharType="begin">
                <w:ffData>
                  <w:name w:val="CSDN"/>
                  <w:enabled/>
                  <w:calcOnExit w:val="0"/>
                  <w:textInput>
                    <w:default w:val="点击此处添加C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点击此处添加CCS号</w:t>
            </w:r>
            <w:r>
              <w:rPr>
                <w:rFonts w:ascii="黑体" w:hAnsi="黑体"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5"/>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3"/>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黑体" w:hAnsi="黑体" w:eastAsia="黑体"/>
          <w:b w:val="0"/>
          <w:bCs w:val="0"/>
          <w:sz w:val="48"/>
          <w:szCs w:val="48"/>
        </w:rPr>
      </w:pPr>
      <w:bookmarkStart w:id="4" w:name="c2"/>
      <w:r>
        <w:rPr>
          <w:rFonts w:ascii="黑体" w:eastAsia="黑体"/>
          <w:b w:val="0"/>
          <w:sz w:val="48"/>
        </w:rPr>
        <w:fldChar w:fldCharType="begin">
          <w:ffData>
            <w:name w:val="c2"/>
            <w:enabled/>
            <w:calcOnExit w:val="0"/>
            <w:textInput/>
          </w:ffData>
        </w:fldChar>
      </w:r>
      <w:r>
        <w:rPr>
          <w:rFonts w:ascii="黑体" w:eastAsia="黑体"/>
          <w:b w:val="0"/>
          <w:sz w:val="48"/>
        </w:rPr>
        <w:instrText xml:space="preserve"> FORMTEXT </w:instrText>
      </w:r>
      <w:r>
        <w:rPr>
          <w:rFonts w:ascii="黑体" w:eastAsia="黑体"/>
          <w:b w:val="0"/>
          <w:sz w:val="48"/>
        </w:rPr>
        <w:fldChar w:fldCharType="separate"/>
      </w:r>
      <w:r>
        <w:rPr>
          <w:rFonts w:hint="eastAsia" w:ascii="黑体" w:eastAsia="黑体"/>
          <w:b w:val="0"/>
          <w:sz w:val="48"/>
        </w:rPr>
        <w:t>陕</w:t>
      </w:r>
      <w:r>
        <w:rPr>
          <w:rFonts w:ascii="黑体" w:eastAsia="黑体"/>
          <w:b w:val="0"/>
          <w:sz w:val="48"/>
        </w:rPr>
        <w:t>西省</w:t>
      </w:r>
      <w:r>
        <w:rPr>
          <w:rFonts w:ascii="黑体" w:eastAsia="黑体"/>
          <w:b w:val="0"/>
          <w:sz w:val="48"/>
        </w:rPr>
        <w:fldChar w:fldCharType="end"/>
      </w:r>
      <w:bookmarkEnd w:id="4"/>
      <w:r>
        <w:rPr>
          <w:rFonts w:hint="eastAsia" w:ascii="黑体" w:hAnsi="黑体" w:eastAsia="黑体"/>
          <w:b w:val="0"/>
          <w:bCs w:val="0"/>
          <w:sz w:val="48"/>
          <w:szCs w:val="48"/>
        </w:rPr>
        <w:t>地方标准</w:t>
      </w:r>
      <w:bookmarkEnd w:id="2"/>
    </w:p>
    <w:p>
      <w:pPr>
        <w:pStyle w:val="200"/>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61/T</w:t>
      </w:r>
      <w: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7"/>
    </w:p>
    <w:p>
      <w:pPr>
        <w:pStyle w:val="201"/>
        <w:rPr>
          <w:rFonts w:hAnsi="黑体"/>
        </w:rPr>
      </w:pPr>
      <w:r>
        <w:rPr>
          <w:rFonts w:hAnsi="黑体"/>
        </w:rPr>
        <w:fldChar w:fldCharType="begin">
          <w:ffData>
            <w:name w:val="OSTD_CODE"/>
            <w:enabled/>
            <w:calcOnExit w:val="0"/>
            <w:textInput>
              <w:default w:val="代替DB61/T 887-2014"/>
            </w:textInput>
          </w:ffData>
        </w:fldChar>
      </w:r>
      <w:bookmarkStart w:id="8" w:name="OSTD_CODE"/>
      <w:r>
        <w:rPr>
          <w:rFonts w:hAnsi="黑体"/>
        </w:rPr>
        <w:instrText xml:space="preserve"> FORMTEXT </w:instrText>
      </w:r>
      <w:r>
        <w:rPr>
          <w:rFonts w:hAnsi="黑体"/>
        </w:rPr>
        <w:fldChar w:fldCharType="separate"/>
      </w:r>
      <w:r>
        <w:rPr>
          <w:rFonts w:hAnsi="黑体"/>
        </w:rPr>
        <w:t>代替DB61/T 887-2014</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黑体" w:hAnsi="黑体" w:eastAsia="黑体"/>
          <w:b w:val="0"/>
          <w:bCs w:val="0"/>
        </w:rPr>
      </w:pPr>
    </w:p>
    <w:p>
      <w:pPr>
        <w:pStyle w:val="202"/>
        <w:framePr w:h="6974" w:hRule="exact" w:x="1419"/>
      </w:pPr>
      <w:r>
        <w:fldChar w:fldCharType="begin">
          <w:ffData>
            <w:name w:val="CSTD_NAME"/>
            <w:enabled/>
            <w:calcOnExit w:val="0"/>
            <w:textInput>
              <w:default w:val="猕猴桃生产 第2部分：建园"/>
            </w:textInput>
          </w:ffData>
        </w:fldChar>
      </w:r>
      <w:bookmarkStart w:id="9" w:name="CSTD_NAME"/>
      <w:r>
        <w:instrText xml:space="preserve"> FORMTEXT </w:instrText>
      </w:r>
      <w:r>
        <w:fldChar w:fldCharType="separate"/>
      </w:r>
      <w:r>
        <w:t>猕猴桃生产 第2部分：建园</w:t>
      </w:r>
      <w:r>
        <w:fldChar w:fldCharType="end"/>
      </w:r>
      <w:bookmarkEnd w:id="9"/>
    </w:p>
    <w:p>
      <w:pPr>
        <w:framePr w:w="9639" w:h="6974" w:hRule="exact" w:wrap="around" w:vAnchor="page" w:hAnchor="page" w:x="1419" w:y="6408"/>
        <w:ind w:left="-1418"/>
      </w:pPr>
    </w:p>
    <w:p>
      <w:pPr>
        <w:framePr w:w="9639" w:h="6974" w:hRule="exact" w:wrap="around" w:vAnchor="page" w:hAnchor="page" w:x="1419" w:y="6408"/>
        <w:spacing w:line="760" w:lineRule="exact"/>
        <w:ind w:left="-1418"/>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9"/>
        <w:framePr w:y="14176"/>
      </w:pPr>
      <w:bookmarkStart w:id="16"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6"/>
        <w:framePr w:h="584" w:hRule="exact" w:hSpace="181" w:vSpace="181" w:y="15027"/>
        <w:rPr>
          <w:rFonts w:hAnsi="黑体"/>
        </w:rPr>
      </w:pPr>
      <w:bookmarkStart w:id="19" w:name="fm"/>
      <w:r>
        <w:rPr>
          <w:rFonts w:hAnsi="黑体"/>
          <w:sz w:val="28"/>
        </w:rPr>
        <w:fldChar w:fldCharType="begin">
          <w:ffData>
            <w:name w:val="fm"/>
            <w:enabled/>
            <w:calcOnExit w:val="0"/>
            <w:textInput/>
          </w:ffData>
        </w:fldChar>
      </w:r>
      <w:r>
        <w:rPr>
          <w:rFonts w:hAnsi="黑体"/>
          <w:sz w:val="28"/>
        </w:rPr>
        <w:instrText xml:space="preserve"> FORMTEXT </w:instrText>
      </w:r>
      <w:r>
        <w:rPr>
          <w:rFonts w:hAnsi="黑体"/>
          <w:sz w:val="28"/>
        </w:rPr>
        <w:fldChar w:fldCharType="separate"/>
      </w:r>
      <w:r>
        <w:rPr>
          <w:rFonts w:hint="eastAsia" w:hAnsi="黑体"/>
          <w:sz w:val="28"/>
        </w:rPr>
        <w:t>陕西省市场监督管理局</w:t>
      </w:r>
      <w:r>
        <w:rPr>
          <w:rFonts w:hAnsi="黑体"/>
          <w:sz w:val="28"/>
        </w:rPr>
        <w:fldChar w:fldCharType="end"/>
      </w:r>
      <w:bookmarkEnd w:id="19"/>
      <w:r>
        <w:rPr>
          <w:rFonts w:ascii="Times New Roman"/>
          <w:sz w:val="28"/>
        </w:rPr>
        <w:t>  </w:t>
      </w:r>
      <w:r>
        <w:rPr>
          <w:rStyle w:val="234"/>
          <w:rFonts w:hint="eastAsia" w:hAnsi="黑体"/>
        </w:rPr>
        <w:t>发布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pPr>
      <w:bookmarkStart w:id="20" w:name="BookMark2"/>
      <w:bookmarkStart w:id="21" w:name="_Hlk183881796"/>
      <w:r>
        <w:rPr>
          <w:spacing w:val="320"/>
        </w:rPr>
        <w:t>前</w:t>
      </w:r>
      <w:r>
        <w:t>言</w:t>
      </w:r>
    </w:p>
    <w:p>
      <w:pPr>
        <w:pStyle w:val="62"/>
        <w:ind w:firstLine="420"/>
      </w:pPr>
      <w:r>
        <w:rPr>
          <w:rFonts w:hint="eastAsia"/>
        </w:rPr>
        <w:t>本文件依据GB/T 1.1 《标准化工作导则 第1部分：标准的结构和编写》给出的规则起草。</w:t>
      </w:r>
    </w:p>
    <w:p>
      <w:pPr>
        <w:pStyle w:val="62"/>
        <w:ind w:firstLine="420"/>
        <w:rPr>
          <w:rFonts w:hint="eastAsia"/>
        </w:rPr>
      </w:pPr>
      <w:r>
        <w:rPr>
          <w:rFonts w:hint="eastAsia"/>
        </w:rPr>
        <w:t>本文件代替DB61/T 887-2014《猕猴桃 建园技术规范》，与</w:t>
      </w:r>
      <w:r>
        <w:t>DB61/T 887-2014</w:t>
      </w:r>
      <w:r>
        <w:rPr>
          <w:rFonts w:hint="eastAsia"/>
        </w:rPr>
        <w:t>相比，除结构调整和编辑性修改外，主要技术变化如下：</w:t>
      </w:r>
    </w:p>
    <w:p>
      <w:pPr>
        <w:pStyle w:val="62"/>
        <w:ind w:firstLine="420"/>
      </w:pPr>
      <w:r>
        <w:rPr>
          <w:rFonts w:hint="eastAsia"/>
        </w:rPr>
        <w:t>a)修改了名称；</w:t>
      </w:r>
    </w:p>
    <w:p>
      <w:pPr>
        <w:pStyle w:val="62"/>
        <w:ind w:firstLine="420"/>
        <w:rPr>
          <w:rFonts w:hint="eastAsia"/>
        </w:rPr>
      </w:pPr>
      <w:r>
        <w:rPr>
          <w:rFonts w:hint="eastAsia"/>
        </w:rPr>
        <w:t>b)调整了前言部分；</w:t>
      </w:r>
    </w:p>
    <w:p>
      <w:pPr>
        <w:pStyle w:val="62"/>
        <w:ind w:firstLine="420"/>
        <w:rPr>
          <w:rFonts w:hint="eastAsia"/>
        </w:rPr>
      </w:pPr>
      <w:r>
        <w:rPr>
          <w:rFonts w:hint="eastAsia"/>
        </w:rPr>
        <w:t>c)调整了引用文件；</w:t>
      </w:r>
      <w:bookmarkStart w:id="54" w:name="_GoBack"/>
      <w:bookmarkEnd w:id="54"/>
    </w:p>
    <w:p>
      <w:pPr>
        <w:pStyle w:val="62"/>
        <w:ind w:firstLine="420"/>
        <w:rPr>
          <w:rFonts w:hint="eastAsia"/>
        </w:rPr>
      </w:pPr>
      <w:r>
        <w:t>d</w:t>
      </w:r>
      <w:r>
        <w:rPr>
          <w:rFonts w:hint="eastAsia"/>
        </w:rPr>
        <w:t>)修改了范围；</w:t>
      </w:r>
    </w:p>
    <w:p>
      <w:pPr>
        <w:pStyle w:val="62"/>
        <w:ind w:firstLine="420"/>
        <w:rPr>
          <w:rFonts w:hint="eastAsia"/>
        </w:rPr>
      </w:pPr>
      <w:r>
        <w:t>e</w:t>
      </w:r>
      <w:r>
        <w:rPr>
          <w:rFonts w:hint="eastAsia"/>
        </w:rPr>
        <w:t>)修改了术语定义；</w:t>
      </w:r>
    </w:p>
    <w:p>
      <w:pPr>
        <w:pStyle w:val="62"/>
        <w:ind w:firstLine="420"/>
        <w:rPr>
          <w:rFonts w:hint="eastAsia"/>
        </w:rPr>
      </w:pPr>
      <w:r>
        <w:t>f</w:t>
      </w:r>
      <w:r>
        <w:rPr>
          <w:rFonts w:hint="eastAsia"/>
        </w:rPr>
        <w:t>)增加了陕南山地猕猴桃建园规划的规定与要求；</w:t>
      </w:r>
    </w:p>
    <w:p>
      <w:pPr>
        <w:pStyle w:val="62"/>
        <w:ind w:firstLine="420"/>
        <w:rPr>
          <w:rFonts w:hint="eastAsia"/>
        </w:rPr>
      </w:pPr>
      <w:r>
        <w:t>g</w:t>
      </w:r>
      <w:r>
        <w:rPr>
          <w:rFonts w:hint="eastAsia"/>
        </w:rPr>
        <w:t>)细化了果园排水、灌溉系统相关的规定和要求；</w:t>
      </w:r>
    </w:p>
    <w:p>
      <w:pPr>
        <w:pStyle w:val="62"/>
        <w:ind w:firstLine="420"/>
      </w:pPr>
      <w:r>
        <w:t>h</w:t>
      </w:r>
      <w:r>
        <w:rPr>
          <w:rFonts w:hint="eastAsia"/>
        </w:rPr>
        <w:t>)增加了土壤改良与土地整理相关内容；</w:t>
      </w:r>
    </w:p>
    <w:p>
      <w:pPr>
        <w:pStyle w:val="62"/>
        <w:ind w:firstLine="420"/>
        <w:rPr>
          <w:rFonts w:hint="eastAsia"/>
        </w:rPr>
      </w:pPr>
      <w:r>
        <w:rPr>
          <w:rFonts w:hint="eastAsia"/>
        </w:rPr>
        <w:t>i)增加和丰富了品种与砧木的种类。</w:t>
      </w:r>
    </w:p>
    <w:p>
      <w:pPr>
        <w:pStyle w:val="62"/>
        <w:ind w:firstLine="420"/>
      </w:pPr>
      <w:r>
        <w:rPr>
          <w:rFonts w:hint="eastAsia"/>
        </w:rPr>
        <w:t>本文件由陕西省农业农村厅提出并归口。</w:t>
      </w:r>
    </w:p>
    <w:p>
      <w:pPr>
        <w:pStyle w:val="62"/>
        <w:ind w:firstLine="420"/>
      </w:pPr>
      <w:r>
        <w:rPr>
          <w:rFonts w:hint="eastAsia"/>
        </w:rPr>
        <w:t>本文件起草单位：陕西省果业中心、西北农林科技大学、眉县农业农村局、安康市农业科学研究院、城固县果业局、临渭区果业发展中心、杨凌梦绿生态农业有限责任公司。</w:t>
      </w:r>
    </w:p>
    <w:p>
      <w:pPr>
        <w:pStyle w:val="62"/>
        <w:ind w:firstLine="420"/>
      </w:pPr>
      <w:r>
        <w:rPr>
          <w:rFonts w:hint="eastAsia"/>
        </w:rPr>
        <w:t>本文件主要起草人：</w:t>
      </w:r>
      <w:r>
        <w:rPr>
          <w:rFonts w:hint="eastAsia"/>
          <w:lang w:eastAsia="zh-CN"/>
        </w:rPr>
        <w:t>杨建伟、</w:t>
      </w:r>
      <w:r>
        <w:rPr>
          <w:rFonts w:hint="eastAsia"/>
        </w:rPr>
        <w:t>刘占德、刘艳飞、贺浩浩、张文慧、屈学农、姚春潮、何若梦、衡涛、谢利华、史孟凡、闫雷玉、唐晓东、高志雄。</w:t>
      </w:r>
    </w:p>
    <w:p>
      <w:pPr>
        <w:pStyle w:val="62"/>
        <w:ind w:firstLine="420"/>
      </w:pPr>
      <w:r>
        <w:rPr>
          <w:rFonts w:hint="eastAsia"/>
        </w:rPr>
        <w:t>本文件为第一次修订。</w:t>
      </w:r>
    </w:p>
    <w:p>
      <w:pPr>
        <w:pStyle w:val="62"/>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sdtPr>
      <w:sdtContent>
        <w:p>
          <w:pPr>
            <w:pStyle w:val="182"/>
            <w:spacing w:before="312" w:beforeLines="100" w:after="686" w:afterLines="220"/>
          </w:pPr>
          <w:bookmarkStart w:id="23" w:name="NEW_STAND_NAME"/>
          <w:r>
            <w:rPr>
              <w:rFonts w:hint="eastAsia"/>
            </w:rPr>
            <w:t>猕猴桃生产 第</w:t>
          </w:r>
          <w:r>
            <w:t>2</w:t>
          </w:r>
          <w:r>
            <w:rPr>
              <w:rFonts w:hint="eastAsia"/>
            </w:rPr>
            <w:t>部分：建园</w:t>
          </w:r>
        </w:p>
      </w:sdtContent>
    </w:sdt>
    <w:bookmarkEnd w:id="23"/>
    <w:p>
      <w:pPr>
        <w:pStyle w:val="109"/>
        <w:spacing w:before="312" w:after="312"/>
      </w:pPr>
      <w:bookmarkStart w:id="24" w:name="_Toc26648465"/>
      <w:bookmarkStart w:id="25" w:name="_Toc26986771"/>
      <w:bookmarkStart w:id="26" w:name="_Toc24884218"/>
      <w:bookmarkStart w:id="27" w:name="_Toc17233333"/>
      <w:bookmarkStart w:id="28" w:name="_Toc26718930"/>
      <w:bookmarkStart w:id="29" w:name="_Toc17233325"/>
      <w:bookmarkStart w:id="30" w:name="_Toc26986530"/>
      <w:bookmarkStart w:id="31" w:name="_Toc97191423"/>
      <w:bookmarkStart w:id="32" w:name="_Toc24884211"/>
      <w:r>
        <w:rPr>
          <w:rFonts w:hint="eastAsia"/>
        </w:rPr>
        <w:t>范围</w:t>
      </w:r>
      <w:bookmarkEnd w:id="24"/>
      <w:bookmarkEnd w:id="25"/>
      <w:bookmarkEnd w:id="26"/>
      <w:bookmarkEnd w:id="27"/>
      <w:bookmarkEnd w:id="28"/>
      <w:bookmarkEnd w:id="29"/>
      <w:bookmarkEnd w:id="30"/>
      <w:bookmarkEnd w:id="31"/>
      <w:bookmarkEnd w:id="32"/>
    </w:p>
    <w:p>
      <w:pPr>
        <w:pStyle w:val="62"/>
        <w:ind w:firstLine="420"/>
      </w:pPr>
      <w:bookmarkStart w:id="33" w:name="_Toc24884219"/>
      <w:bookmarkStart w:id="34" w:name="_Toc17233326"/>
      <w:bookmarkStart w:id="35" w:name="_Toc17233334"/>
      <w:bookmarkStart w:id="36" w:name="_Toc26648466"/>
      <w:bookmarkStart w:id="37" w:name="_Toc24884212"/>
      <w:r>
        <w:rPr>
          <w:rFonts w:hint="eastAsia"/>
        </w:rPr>
        <w:t>本文件规定了猕猴桃建园的园地选择、规划设计、果园排灌系统、土壤改良、品种与砧木选择、苗木定植、定植后管理的要求。</w:t>
      </w:r>
    </w:p>
    <w:p>
      <w:pPr>
        <w:pStyle w:val="62"/>
        <w:ind w:firstLine="420"/>
      </w:pPr>
      <w:r>
        <w:rPr>
          <w:rFonts w:hint="eastAsia"/>
        </w:rPr>
        <w:t>本文件适用于陕西秦岭北麓和陕南秦巴山区猕猴桃产区的果园标准化建设。</w:t>
      </w:r>
    </w:p>
    <w:p>
      <w:pPr>
        <w:pStyle w:val="109"/>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2"/>
            <w:ind w:firstLine="420"/>
          </w:pPr>
          <w:r>
            <w:rPr>
              <w:rFonts w:hint="eastAsia"/>
            </w:rPr>
            <w:t>本文件没有规范性引用文件。</w:t>
          </w:r>
        </w:p>
      </w:sdtContent>
    </w:sdt>
    <w:p>
      <w:pPr>
        <w:pStyle w:val="109"/>
        <w:spacing w:before="312" w:after="312"/>
      </w:pPr>
      <w:bookmarkStart w:id="42" w:name="_Toc97191425"/>
      <w:r>
        <w:rPr>
          <w:rFonts w:hint="eastAsia"/>
          <w:szCs w:val="21"/>
        </w:rPr>
        <w:t>术语和定义</w:t>
      </w:r>
      <w:bookmarkEnd w:id="42"/>
    </w:p>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2"/>
            <w:ind w:firstLine="420"/>
          </w:pPr>
          <w:r>
            <w:t>下列术语和定义适用于本文件。</w:t>
          </w:r>
        </w:p>
      </w:sdtContent>
    </w:sdt>
    <w:bookmarkEnd w:id="22"/>
    <w:p>
      <w:pPr>
        <w:pStyle w:val="109"/>
        <w:spacing w:before="312" w:after="312"/>
        <w:rPr>
          <w:szCs w:val="21"/>
        </w:rPr>
      </w:pPr>
      <w:bookmarkStart w:id="43" w:name="BookMark8"/>
      <w:r>
        <w:rPr>
          <w:szCs w:val="21"/>
        </w:rPr>
        <w:t>园地选择</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hint="eastAsia" w:ascii="Times New Roman" w:hAnsi="Times New Roman"/>
          <w:color w:val="000000"/>
          <w:kern w:val="0"/>
          <w:szCs w:val="20"/>
        </w:rPr>
        <w:t>按照</w:t>
      </w:r>
      <w:r>
        <w:rPr>
          <w:rFonts w:ascii="Times New Roman" w:hAnsi="Times New Roman"/>
          <w:color w:val="000000"/>
          <w:kern w:val="0"/>
          <w:szCs w:val="20"/>
        </w:rPr>
        <w:t>第1部分</w:t>
      </w:r>
      <w:r>
        <w:rPr>
          <w:rFonts w:hint="eastAsia" w:ascii="Times New Roman" w:hAnsi="Times New Roman"/>
          <w:color w:val="000000"/>
          <w:kern w:val="0"/>
          <w:szCs w:val="20"/>
        </w:rPr>
        <w:t>：</w:t>
      </w:r>
      <w:r>
        <w:rPr>
          <w:rFonts w:ascii="Times New Roman" w:hAnsi="Times New Roman"/>
          <w:color w:val="000000"/>
          <w:kern w:val="0"/>
          <w:szCs w:val="20"/>
        </w:rPr>
        <w:t>立地环境条件</w:t>
      </w:r>
      <w:r>
        <w:rPr>
          <w:rFonts w:hint="eastAsia" w:ascii="Times New Roman" w:hAnsi="Times New Roman"/>
          <w:color w:val="000000"/>
          <w:kern w:val="0"/>
          <w:szCs w:val="20"/>
        </w:rPr>
        <w:t>执行</w:t>
      </w:r>
      <w:r>
        <w:rPr>
          <w:rFonts w:ascii="Times New Roman" w:hAnsi="Times New Roman"/>
          <w:color w:val="000000"/>
          <w:kern w:val="0"/>
          <w:szCs w:val="20"/>
        </w:rPr>
        <w:t>。</w:t>
      </w:r>
    </w:p>
    <w:p>
      <w:pPr>
        <w:pStyle w:val="109"/>
        <w:spacing w:before="312" w:after="312"/>
        <w:rPr>
          <w:szCs w:val="21"/>
        </w:rPr>
      </w:pPr>
      <w:r>
        <w:rPr>
          <w:szCs w:val="21"/>
        </w:rPr>
        <w:t>园地规划</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5.1  规划原则</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根据地形、地貌、规模、机械化程度、气候特点，土壤状况等确定。对于面积比较大的果园，做好猕猴桃园区的基础设施规划。</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5.2  作业区设置</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采用南北行向建园，并配置田间工作房、作业道、灌溉渠道，主迎风面设置防风林。</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平地或缓坡地：一般以3 hm</w:t>
      </w:r>
      <w:r>
        <w:rPr>
          <w:rFonts w:ascii="Times New Roman" w:hAnsi="Times New Roman"/>
          <w:color w:val="000000"/>
          <w:kern w:val="0"/>
          <w:szCs w:val="20"/>
          <w:vertAlign w:val="superscript"/>
        </w:rPr>
        <w:t>2</w:t>
      </w:r>
      <w:r>
        <w:rPr>
          <w:rFonts w:ascii="Times New Roman" w:hAnsi="Times New Roman"/>
          <w:color w:val="000000"/>
          <w:kern w:val="0"/>
          <w:szCs w:val="20"/>
        </w:rPr>
        <w:t>~3.3 hm</w:t>
      </w:r>
      <w:r>
        <w:rPr>
          <w:rFonts w:ascii="Times New Roman" w:hAnsi="Times New Roman"/>
          <w:color w:val="000000"/>
          <w:kern w:val="0"/>
          <w:szCs w:val="20"/>
          <w:vertAlign w:val="superscript"/>
        </w:rPr>
        <w:t>2</w:t>
      </w:r>
      <w:r>
        <w:rPr>
          <w:rFonts w:ascii="Times New Roman" w:hAnsi="Times New Roman"/>
          <w:color w:val="000000"/>
          <w:kern w:val="0"/>
          <w:szCs w:val="20"/>
        </w:rPr>
        <w:t>为一作业区；</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山地丘陵地：沿坡向划分，一般宽40 m~50 m为一作业区；</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旱梯田：根据梯田的宽度定，3 m~3.5 m梯宽时，一般10~15个梯为一作业区。</w:t>
      </w:r>
    </w:p>
    <w:p>
      <w:pPr>
        <w:widowControl/>
        <w:adjustRightInd/>
        <w:spacing w:before="156" w:beforeLines="50" w:after="156" w:afterLines="50" w:line="360" w:lineRule="exact"/>
        <w:jc w:val="left"/>
        <w:outlineLvl w:val="2"/>
        <w:rPr>
          <w:rFonts w:ascii="Times New Roman" w:hAnsi="Times New Roman" w:eastAsia="黑体"/>
          <w:color w:val="000000"/>
          <w:kern w:val="0"/>
        </w:rPr>
      </w:pPr>
      <w:r>
        <w:rPr>
          <w:rFonts w:ascii="Times New Roman" w:hAnsi="Times New Roman" w:eastAsia="黑体"/>
          <w:color w:val="000000"/>
          <w:kern w:val="0"/>
        </w:rPr>
        <w:t>5.3  道路</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果园主干道贯穿全园，作业区四周或两端设立生产道路。</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hint="eastAsia" w:ascii="Times New Roman" w:hAnsi="Times New Roman"/>
          <w:color w:val="000000"/>
          <w:kern w:val="0"/>
          <w:szCs w:val="20"/>
        </w:rPr>
        <w:t>面积≥6</w:t>
      </w:r>
      <w:r>
        <w:rPr>
          <w:rFonts w:ascii="Times New Roman" w:hAnsi="Times New Roman"/>
          <w:color w:val="000000"/>
          <w:kern w:val="0"/>
          <w:szCs w:val="20"/>
        </w:rPr>
        <w:t>.6 hm</w:t>
      </w:r>
      <w:r>
        <w:rPr>
          <w:rFonts w:ascii="Times New Roman" w:hAnsi="Times New Roman"/>
          <w:color w:val="000000"/>
          <w:kern w:val="0"/>
          <w:szCs w:val="20"/>
          <w:vertAlign w:val="superscript"/>
        </w:rPr>
        <w:t>2</w:t>
      </w:r>
      <w:r>
        <w:rPr>
          <w:rFonts w:hint="eastAsia" w:ascii="Times New Roman" w:hAnsi="Times New Roman"/>
          <w:color w:val="000000"/>
          <w:kern w:val="0"/>
          <w:szCs w:val="20"/>
        </w:rPr>
        <w:t>的</w:t>
      </w:r>
      <w:r>
        <w:rPr>
          <w:rFonts w:ascii="Times New Roman" w:hAnsi="Times New Roman"/>
          <w:color w:val="000000"/>
          <w:kern w:val="0"/>
          <w:szCs w:val="20"/>
        </w:rPr>
        <w:t>大型果园主干道路与园外大路相连，宽4 m～6 m。支道是园区作业道与主干道相通的二级道路，宽约3 m；各小区内设立宽2 m的作业道。</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hint="eastAsia" w:ascii="Times New Roman" w:hAnsi="Times New Roman"/>
          <w:color w:val="000000"/>
          <w:kern w:val="0"/>
          <w:szCs w:val="20"/>
        </w:rPr>
        <w:t>面积3</w:t>
      </w:r>
      <w:r>
        <w:rPr>
          <w:rFonts w:ascii="Times New Roman" w:hAnsi="Times New Roman"/>
          <w:color w:val="000000"/>
          <w:kern w:val="0"/>
          <w:szCs w:val="20"/>
        </w:rPr>
        <w:t>.3 hm</w:t>
      </w:r>
      <w:r>
        <w:rPr>
          <w:rFonts w:ascii="Times New Roman" w:hAnsi="Times New Roman"/>
          <w:color w:val="000000"/>
          <w:kern w:val="0"/>
          <w:szCs w:val="20"/>
          <w:vertAlign w:val="superscript"/>
        </w:rPr>
        <w:t>2</w:t>
      </w:r>
      <w:r>
        <w:rPr>
          <w:rFonts w:ascii="Times New Roman" w:hAnsi="Times New Roman"/>
          <w:color w:val="000000"/>
          <w:kern w:val="0"/>
          <w:szCs w:val="20"/>
        </w:rPr>
        <w:t>~6.6 hm</w:t>
      </w:r>
      <w:r>
        <w:rPr>
          <w:rFonts w:ascii="Times New Roman" w:hAnsi="Times New Roman"/>
          <w:color w:val="000000"/>
          <w:kern w:val="0"/>
          <w:szCs w:val="20"/>
          <w:vertAlign w:val="superscript"/>
        </w:rPr>
        <w:t>2</w:t>
      </w:r>
      <w:r>
        <w:rPr>
          <w:rFonts w:hint="eastAsia" w:ascii="Times New Roman" w:hAnsi="Times New Roman"/>
          <w:color w:val="000000"/>
          <w:kern w:val="0"/>
          <w:szCs w:val="20"/>
        </w:rPr>
        <w:t>的</w:t>
      </w:r>
      <w:r>
        <w:rPr>
          <w:rFonts w:ascii="Times New Roman" w:hAnsi="Times New Roman"/>
          <w:color w:val="000000"/>
          <w:kern w:val="0"/>
          <w:szCs w:val="20"/>
        </w:rPr>
        <w:t>中等面积果园仅规划支道和作业道，支道与外界相连，宽约4 m。</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面积较小（</w:t>
      </w:r>
      <w:r>
        <w:rPr>
          <w:rFonts w:hint="eastAsia" w:ascii="Times New Roman" w:hAnsi="Times New Roman"/>
          <w:color w:val="000000"/>
          <w:kern w:val="0"/>
          <w:szCs w:val="20"/>
        </w:rPr>
        <w:t>＜3</w:t>
      </w:r>
      <w:r>
        <w:rPr>
          <w:rFonts w:ascii="Times New Roman" w:hAnsi="Times New Roman"/>
          <w:color w:val="000000"/>
          <w:kern w:val="0"/>
          <w:szCs w:val="20"/>
        </w:rPr>
        <w:t>.3 hm</w:t>
      </w:r>
      <w:r>
        <w:rPr>
          <w:rFonts w:ascii="Times New Roman" w:hAnsi="Times New Roman"/>
          <w:color w:val="000000"/>
          <w:kern w:val="0"/>
          <w:szCs w:val="20"/>
          <w:vertAlign w:val="superscript"/>
        </w:rPr>
        <w:t>2</w:t>
      </w:r>
      <w:r>
        <w:rPr>
          <w:rFonts w:ascii="Times New Roman" w:hAnsi="Times New Roman"/>
          <w:color w:val="000000"/>
          <w:kern w:val="0"/>
          <w:szCs w:val="20"/>
        </w:rPr>
        <w:t>）的果园仅规划作业道。</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hint="eastAsia" w:ascii="Times New Roman" w:hAnsi="Times New Roman" w:eastAsia="黑体"/>
          <w:color w:val="000000"/>
          <w:kern w:val="0"/>
        </w:rPr>
        <w:t>5</w:t>
      </w:r>
      <w:r>
        <w:rPr>
          <w:rFonts w:ascii="Times New Roman" w:hAnsi="Times New Roman" w:eastAsia="黑体"/>
          <w:color w:val="000000"/>
          <w:kern w:val="0"/>
        </w:rPr>
        <w:t>.4  配电房和工具房规划</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大型果园需建设配电房，生产用电按照电力安全要求。配套建设工具房，用来存放生产工具等，大小可根据果园规模而定。</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hint="eastAsia" w:ascii="Times New Roman" w:hAnsi="Times New Roman" w:eastAsia="黑体"/>
          <w:color w:val="000000"/>
          <w:kern w:val="0"/>
        </w:rPr>
        <w:t>5</w:t>
      </w:r>
      <w:r>
        <w:rPr>
          <w:rFonts w:ascii="Times New Roman" w:hAnsi="Times New Roman" w:eastAsia="黑体"/>
          <w:color w:val="000000"/>
          <w:kern w:val="0"/>
        </w:rPr>
        <w:t>.5  果园标识</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猕猴桃果园应当设立标识牌，标志牌应当注明：地块名称（所属单位或农户名称）、品种、面积等相关信息。</w:t>
      </w:r>
    </w:p>
    <w:p>
      <w:pPr>
        <w:pStyle w:val="109"/>
        <w:spacing w:before="312" w:after="312"/>
        <w:rPr>
          <w:szCs w:val="21"/>
        </w:rPr>
      </w:pPr>
      <w:r>
        <w:rPr>
          <w:szCs w:val="21"/>
        </w:rPr>
        <w:t>果园排水、灌溉系统</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6.1  排水系统</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排水系统应与道路系统配合设置，干道边设总排水沟，支道边设各小区的排水沟，作业道边或行间设小区内排水沟，构建整个果园的排水网络系统。</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6.1.1  平地建园</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hint="eastAsia" w:ascii="Times New Roman" w:hAnsi="Times New Roman"/>
          <w:color w:val="000000"/>
          <w:kern w:val="0"/>
          <w:szCs w:val="20"/>
        </w:rPr>
        <w:t>陕南</w:t>
      </w:r>
      <w:r>
        <w:rPr>
          <w:rFonts w:ascii="Times New Roman" w:hAnsi="Times New Roman"/>
          <w:color w:val="000000"/>
          <w:kern w:val="0"/>
          <w:szCs w:val="20"/>
        </w:rPr>
        <w:t>沙土地或壤土地，在园区地势较低处，或者在园区四周开挖主排水沟，宽和深0.6 m ~0.8 m。根据当地降水量，合理设置二级排水沟。</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陕南黄粘土</w:t>
      </w:r>
      <w:r>
        <w:rPr>
          <w:rFonts w:hint="eastAsia" w:ascii="Times New Roman" w:hAnsi="Times New Roman"/>
          <w:color w:val="000000"/>
          <w:kern w:val="0"/>
          <w:szCs w:val="20"/>
        </w:rPr>
        <w:t>地</w:t>
      </w:r>
      <w:r>
        <w:rPr>
          <w:rFonts w:ascii="Times New Roman" w:hAnsi="Times New Roman"/>
          <w:color w:val="000000"/>
          <w:kern w:val="0"/>
          <w:szCs w:val="20"/>
        </w:rPr>
        <w:t>，采用行带深沟（宽和深0.6 m ~0.8 m）和围沟（宽和深0.8 m ~1.0 m）进行排水。</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6.1.2  山地或丘陵地建园</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拦洪沟：在坡度较大的林地与果园上部交界处，开宽1.0 m、深0.6 m~0.8 m的拦洪沟，拦洪沟与纵沟相连，多余水分经纵沟引入山塘或水库。</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主排水沟：顺行向开挖行带排水沟和边沟，行带沟宽0.4 m~0.6 m、深0.6 m~0.8 m，边沟宽0.6 m~0.8 m、深0.8 m~1.0 m；行带沟和边沟排水最终汇入干道总排水沟。</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6.1.3  旱梯田建园</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挖内排水沟和边排水沟（宽和深0.4 m~0.6 m），并于沿坡向通往低洼处的主排水沟垂直相连，将积水顺坡排出。</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6.2  灌溉系统</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hint="eastAsia" w:ascii="Times New Roman" w:hAnsi="Times New Roman"/>
          <w:color w:val="000000"/>
          <w:kern w:val="0"/>
          <w:szCs w:val="20"/>
        </w:rPr>
        <w:t>猕猴桃</w:t>
      </w:r>
      <w:r>
        <w:rPr>
          <w:rFonts w:ascii="Times New Roman" w:hAnsi="Times New Roman"/>
          <w:color w:val="000000"/>
          <w:kern w:val="0"/>
          <w:szCs w:val="20"/>
        </w:rPr>
        <w:t>园区必须具有良好的灌溉设施条件。</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——临近水库或江河的园地，可采用机械提水或筑坝引水</w:t>
      </w:r>
      <w:r>
        <w:rPr>
          <w:rFonts w:hint="eastAsia" w:ascii="Times New Roman" w:hAnsi="Times New Roman"/>
          <w:color w:val="000000"/>
          <w:kern w:val="0"/>
          <w:szCs w:val="20"/>
        </w:rPr>
        <w:t>。</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——山地丘陵果园，可修建蓄水池或山塘，蓄水池的大小可根据园地面积和灌溉方式而定，一般每45m</w:t>
      </w:r>
      <w:r>
        <w:rPr>
          <w:rFonts w:ascii="Times New Roman" w:hAnsi="Times New Roman"/>
          <w:color w:val="000000"/>
          <w:kern w:val="0"/>
          <w:szCs w:val="20"/>
          <w:vertAlign w:val="superscript"/>
        </w:rPr>
        <w:t>3</w:t>
      </w:r>
      <w:r>
        <w:rPr>
          <w:rFonts w:ascii="Times New Roman" w:hAnsi="Times New Roman"/>
          <w:color w:val="000000"/>
          <w:kern w:val="0"/>
          <w:szCs w:val="20"/>
        </w:rPr>
        <w:t xml:space="preserve">/ </w:t>
      </w:r>
      <w:r>
        <w:rPr>
          <w:rFonts w:hint="eastAsia" w:ascii="Times New Roman" w:hAnsi="Times New Roman"/>
          <w:color w:val="000000"/>
          <w:kern w:val="0"/>
          <w:szCs w:val="20"/>
        </w:rPr>
        <w:t>h</w:t>
      </w:r>
      <w:r>
        <w:rPr>
          <w:rFonts w:ascii="Times New Roman" w:hAnsi="Times New Roman"/>
          <w:color w:val="000000"/>
          <w:kern w:val="0"/>
          <w:szCs w:val="20"/>
        </w:rPr>
        <w:t>m</w:t>
      </w:r>
      <w:r>
        <w:rPr>
          <w:rFonts w:ascii="Times New Roman" w:hAnsi="Times New Roman"/>
          <w:color w:val="000000"/>
          <w:kern w:val="0"/>
          <w:szCs w:val="20"/>
          <w:vertAlign w:val="superscript"/>
        </w:rPr>
        <w:t>2</w:t>
      </w:r>
      <w:r>
        <w:rPr>
          <w:rFonts w:ascii="Times New Roman" w:hAnsi="Times New Roman"/>
          <w:color w:val="000000"/>
          <w:kern w:val="0"/>
          <w:szCs w:val="20"/>
        </w:rPr>
        <w:t>，池与渠道相连，形成</w:t>
      </w:r>
      <w:r>
        <w:rPr>
          <w:rFonts w:ascii="宋体" w:hAnsi="宋体"/>
          <w:color w:val="000000"/>
          <w:kern w:val="0"/>
          <w:szCs w:val="20"/>
        </w:rPr>
        <w:t>“长藤结瓜”</w:t>
      </w:r>
      <w:r>
        <w:rPr>
          <w:rFonts w:ascii="Times New Roman" w:hAnsi="Times New Roman"/>
          <w:color w:val="000000"/>
          <w:kern w:val="0"/>
          <w:szCs w:val="20"/>
        </w:rPr>
        <w:t>的灌溉网。</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——大型果园可安装微喷或滴灌系统，也可以利用排水系统进行灌溉，在排水渠的适当位置设闸，使排、灌、水渠合二为一，以上游的排水渠作为下游的灌水渠。</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——有条件的</w:t>
      </w:r>
      <w:r>
        <w:rPr>
          <w:rFonts w:hint="eastAsia" w:ascii="Times New Roman" w:hAnsi="Times New Roman"/>
          <w:color w:val="000000"/>
          <w:kern w:val="0"/>
          <w:szCs w:val="20"/>
        </w:rPr>
        <w:t>果园</w:t>
      </w:r>
      <w:r>
        <w:rPr>
          <w:rFonts w:ascii="Times New Roman" w:hAnsi="Times New Roman"/>
          <w:color w:val="000000"/>
          <w:kern w:val="0"/>
          <w:szCs w:val="20"/>
        </w:rPr>
        <w:t>采用水肥一体化技术。</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6.3  防风林</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多风地区在主迎风面距猕猴桃栽植行5 m～6 m处，建设防风林带或人造防风障。防风林，栽植2排，行株距1.0 m</w:t>
      </w:r>
      <w:r>
        <w:rPr>
          <w:rFonts w:hint="eastAsia" w:ascii="Times New Roman" w:hAnsi="Times New Roman"/>
          <w:color w:val="000000"/>
          <w:kern w:val="0"/>
          <w:szCs w:val="20"/>
        </w:rPr>
        <w:t>~</w:t>
      </w:r>
      <w:r>
        <w:rPr>
          <w:rFonts w:ascii="Times New Roman" w:hAnsi="Times New Roman"/>
          <w:color w:val="000000"/>
          <w:kern w:val="0"/>
          <w:szCs w:val="20"/>
        </w:rPr>
        <w:t>1.5 m×1.0 m，以对角线方式栽植，树高10 m</w:t>
      </w:r>
      <w:r>
        <w:rPr>
          <w:rFonts w:hint="eastAsia" w:ascii="Times New Roman" w:hAnsi="Times New Roman"/>
          <w:color w:val="000000"/>
          <w:kern w:val="0"/>
          <w:szCs w:val="20"/>
        </w:rPr>
        <w:t>~</w:t>
      </w:r>
      <w:r>
        <w:rPr>
          <w:rFonts w:ascii="Times New Roman" w:hAnsi="Times New Roman"/>
          <w:color w:val="000000"/>
          <w:kern w:val="0"/>
          <w:szCs w:val="20"/>
        </w:rPr>
        <w:t>15 m，树种以松树、杨树等乔木为主，在乔木之间搭配灌木树种。</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面积较大的果园，在果园迎风面每隔50 m</w:t>
      </w:r>
      <w:r>
        <w:rPr>
          <w:rFonts w:hint="eastAsia" w:ascii="Times New Roman" w:hAnsi="Times New Roman"/>
          <w:color w:val="000000"/>
          <w:kern w:val="0"/>
          <w:szCs w:val="20"/>
        </w:rPr>
        <w:t>~</w:t>
      </w:r>
      <w:r>
        <w:rPr>
          <w:rFonts w:ascii="Times New Roman" w:hAnsi="Times New Roman"/>
          <w:color w:val="000000"/>
          <w:kern w:val="0"/>
          <w:szCs w:val="20"/>
        </w:rPr>
        <w:t>60 m设置一道单排防风林。人造防风障高10 m</w:t>
      </w:r>
      <w:r>
        <w:rPr>
          <w:rFonts w:hint="eastAsia" w:ascii="Times New Roman" w:hAnsi="Times New Roman"/>
          <w:color w:val="000000"/>
          <w:kern w:val="0"/>
          <w:szCs w:val="20"/>
        </w:rPr>
        <w:t>~</w:t>
      </w:r>
      <w:r>
        <w:rPr>
          <w:rFonts w:ascii="Times New Roman" w:hAnsi="Times New Roman"/>
          <w:color w:val="000000"/>
          <w:kern w:val="0"/>
          <w:szCs w:val="20"/>
        </w:rPr>
        <w:t>15 m。</w:t>
      </w:r>
    </w:p>
    <w:p>
      <w:pPr>
        <w:pStyle w:val="109"/>
        <w:spacing w:before="312" w:after="312"/>
        <w:rPr>
          <w:szCs w:val="21"/>
        </w:rPr>
      </w:pPr>
      <w:r>
        <w:rPr>
          <w:szCs w:val="21"/>
        </w:rPr>
        <w:t>土壤改良与土地整理</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bookmarkStart w:id="44" w:name="_Toc518500944"/>
      <w:bookmarkStart w:id="45" w:name="_Toc523401860"/>
      <w:bookmarkStart w:id="46" w:name="_Toc522175751"/>
      <w:bookmarkStart w:id="47" w:name="_Toc522192820"/>
      <w:r>
        <w:rPr>
          <w:rFonts w:ascii="Times New Roman" w:hAnsi="Times New Roman" w:eastAsia="黑体"/>
          <w:color w:val="000000"/>
          <w:kern w:val="0"/>
        </w:rPr>
        <w:t>7.1  全园机械深翻整地</w:t>
      </w:r>
      <w:bookmarkEnd w:id="44"/>
      <w:bookmarkEnd w:id="45"/>
      <w:bookmarkEnd w:id="46"/>
      <w:bookmarkEnd w:id="47"/>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秦岭北麓及陕南沿江河的平地或缓坡按照常规方式平整土地</w:t>
      </w:r>
      <w:r>
        <w:rPr>
          <w:rFonts w:hint="eastAsia" w:ascii="Times New Roman" w:hAnsi="Times New Roman"/>
          <w:color w:val="000000"/>
          <w:kern w:val="0"/>
          <w:szCs w:val="20"/>
        </w:rPr>
        <w:t>。</w:t>
      </w:r>
      <w:r>
        <w:rPr>
          <w:rFonts w:ascii="Times New Roman" w:hAnsi="Times New Roman"/>
          <w:color w:val="000000"/>
          <w:kern w:val="0"/>
          <w:szCs w:val="20"/>
        </w:rPr>
        <w:t>对于坡度＞10°的山坡地，可用挖掘机进行修路、挖沟、清杂、撩壕、平整等作业，</w:t>
      </w:r>
      <w:r>
        <w:rPr>
          <w:rFonts w:hint="eastAsia" w:ascii="Times New Roman" w:hAnsi="Times New Roman"/>
          <w:color w:val="000000"/>
          <w:kern w:val="0"/>
          <w:szCs w:val="20"/>
        </w:rPr>
        <w:t>并</w:t>
      </w:r>
      <w:r>
        <w:rPr>
          <w:rFonts w:ascii="Times New Roman" w:hAnsi="Times New Roman"/>
          <w:color w:val="000000"/>
          <w:kern w:val="0"/>
          <w:szCs w:val="20"/>
        </w:rPr>
        <w:t>配合全园深翻适当降坡平整。</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7.2  土壤改良</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 xml:space="preserve">平地、缓坡地或旱梯田，每亩撒施2 t～3 </w:t>
      </w:r>
      <w:r>
        <w:rPr>
          <w:rFonts w:hint="eastAsia" w:ascii="Times New Roman" w:hAnsi="Times New Roman"/>
          <w:color w:val="000000"/>
          <w:kern w:val="0"/>
          <w:szCs w:val="20"/>
        </w:rPr>
        <w:t>t</w:t>
      </w:r>
      <w:r>
        <w:rPr>
          <w:rFonts w:ascii="Times New Roman" w:hAnsi="Times New Roman"/>
          <w:color w:val="000000"/>
          <w:kern w:val="0"/>
          <w:szCs w:val="20"/>
        </w:rPr>
        <w:t>腐熟有机肥，深翻60 cm以上，改善土壤理化性质，增强通透性，增加土壤肥力。</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坡度10°~30°的山地或丘陵地、土质粘重，河滩地和沙壤土地透水性强、土壤肥力低下，栽植前抽槽改土，槽深宽各80 cm~100 cm，每立方米施入40 kg~50 kg腐熟有机肥，土肥混合填入。</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 xml:space="preserve">高山野生猕猴桃抚育改造区，进行2 </w:t>
      </w:r>
      <w:r>
        <w:rPr>
          <w:rFonts w:hint="eastAsia" w:ascii="Times New Roman" w:hAnsi="Times New Roman"/>
          <w:color w:val="000000"/>
          <w:kern w:val="0"/>
          <w:szCs w:val="20"/>
        </w:rPr>
        <w:t>m</w:t>
      </w:r>
      <w:r>
        <w:rPr>
          <w:rFonts w:ascii="Times New Roman" w:hAnsi="Times New Roman"/>
          <w:color w:val="000000"/>
          <w:kern w:val="0"/>
          <w:szCs w:val="20"/>
        </w:rPr>
        <w:t>见方的根域局部土壤改良。</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7.3  开厢起垄</w:t>
      </w:r>
      <w:r>
        <w:rPr>
          <w:rFonts w:hint="eastAsia" w:ascii="Times New Roman" w:hAnsi="Times New Roman" w:eastAsia="黑体"/>
          <w:color w:val="000000"/>
          <w:kern w:val="0"/>
        </w:rPr>
        <w:t>（陕南）</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7.3.1  平地或缓坡地</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南北（沿行）方向、旱坡地顺坡方向，顺排水沟方向按照行距开厢起垄，旱梯田沿等高线起垄。</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7.3.1.1  沙土地和壤土地</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 w:val="24"/>
          <w:szCs w:val="20"/>
        </w:rPr>
      </w:pPr>
      <w:r>
        <w:rPr>
          <w:rFonts w:ascii="Times New Roman" w:hAnsi="Times New Roman"/>
          <w:color w:val="000000"/>
          <w:kern w:val="0"/>
          <w:szCs w:val="20"/>
        </w:rPr>
        <w:t>采用单行单畦起垄方式，垄中心高40 cm~60 cm，垄宽100 cm~120 cm，龟背状。</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7.3.1.2</w:t>
      </w:r>
      <w:r>
        <w:rPr>
          <w:rFonts w:ascii="Times New Roman" w:hAnsi="Times New Roman" w:eastAsia="黑体"/>
          <w:b/>
          <w:color w:val="000000"/>
          <w:kern w:val="0"/>
          <w:sz w:val="24"/>
          <w:szCs w:val="24"/>
        </w:rPr>
        <w:t xml:space="preserve"> </w:t>
      </w:r>
      <w:r>
        <w:rPr>
          <w:rFonts w:ascii="Times New Roman" w:hAnsi="Times New Roman" w:eastAsia="黑体"/>
          <w:color w:val="000000"/>
          <w:kern w:val="0"/>
        </w:rPr>
        <w:t xml:space="preserve"> 黄粘土地</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 xml:space="preserve">采用双行单畦深沟起垄方式，垄高40 cm~60 cm、宽100 cm~120 cm，垄面中间高两边低，沟深、宽分别为40 cm~60 cm、60 cm~80 cm，畦面宽7 </w:t>
      </w:r>
      <w:r>
        <w:rPr>
          <w:rFonts w:hint="eastAsia" w:ascii="Times New Roman" w:hAnsi="Times New Roman"/>
          <w:color w:val="000000"/>
          <w:kern w:val="0"/>
          <w:szCs w:val="20"/>
        </w:rPr>
        <w:t>m</w:t>
      </w:r>
      <w:r>
        <w:rPr>
          <w:rFonts w:ascii="Times New Roman" w:hAnsi="Times New Roman"/>
          <w:color w:val="000000"/>
          <w:kern w:val="0"/>
          <w:szCs w:val="20"/>
        </w:rPr>
        <w:t>~8 m；或者单行单垄深沟方式，垄高30 cm~40 cm、宽100 cm~120 cm，沟深、宽分别为40 cm~60 cm、60 cm~80 cm。</w:t>
      </w:r>
    </w:p>
    <w:p>
      <w:pPr>
        <w:pStyle w:val="109"/>
        <w:spacing w:before="312" w:after="312"/>
        <w:rPr>
          <w:szCs w:val="21"/>
        </w:rPr>
      </w:pPr>
      <w:r>
        <w:rPr>
          <w:rFonts w:hint="eastAsia"/>
          <w:szCs w:val="21"/>
        </w:rPr>
        <w:t>架</w:t>
      </w:r>
      <w:r>
        <w:rPr>
          <w:szCs w:val="21"/>
        </w:rPr>
        <w:t>型与架材</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平地或缓坡地（坡度≤10°）的果园，选用水平大棚架。坡度＞10°的山坡地、旱梯田、高山野生猕猴桃抚育改造区，选用</w:t>
      </w:r>
      <w:r>
        <w:rPr>
          <w:rFonts w:hint="eastAsia" w:ascii="Times New Roman" w:hAnsi="Times New Roman"/>
          <w:color w:val="000000"/>
          <w:kern w:val="0"/>
          <w:szCs w:val="20"/>
        </w:rPr>
        <w:t>等高大棚架、</w:t>
      </w:r>
      <w:r>
        <w:rPr>
          <w:rFonts w:ascii="Times New Roman" w:hAnsi="Times New Roman"/>
          <w:color w:val="000000"/>
          <w:kern w:val="0"/>
          <w:szCs w:val="20"/>
        </w:rPr>
        <w:t>T型棚架或篱壁架。</w:t>
      </w:r>
    </w:p>
    <w:p>
      <w:pPr>
        <w:pStyle w:val="109"/>
        <w:spacing w:before="312" w:after="312"/>
        <w:rPr>
          <w:szCs w:val="21"/>
        </w:rPr>
      </w:pPr>
      <w:bookmarkStart w:id="48" w:name="_Toc375383483"/>
      <w:bookmarkStart w:id="49" w:name="_Toc375337591"/>
      <w:r>
        <w:rPr>
          <w:szCs w:val="21"/>
        </w:rPr>
        <w:t>品种选择</w:t>
      </w:r>
      <w:bookmarkEnd w:id="48"/>
      <w:bookmarkEnd w:id="49"/>
    </w:p>
    <w:p>
      <w:pPr>
        <w:widowControl/>
        <w:adjustRightInd/>
        <w:spacing w:before="156" w:beforeLines="50" w:after="156" w:afterLines="50" w:line="360" w:lineRule="exact"/>
        <w:jc w:val="left"/>
        <w:outlineLvl w:val="2"/>
        <w:rPr>
          <w:rFonts w:ascii="Times New Roman" w:hAnsi="Times New Roman" w:eastAsia="黑体"/>
          <w:color w:val="000000"/>
          <w:kern w:val="0"/>
        </w:rPr>
      </w:pPr>
      <w:r>
        <w:rPr>
          <w:rFonts w:ascii="Times New Roman" w:hAnsi="Times New Roman" w:eastAsia="黑体"/>
          <w:color w:val="000000"/>
          <w:kern w:val="0"/>
        </w:rPr>
        <w:t>9.1  品种选择</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bookmarkStart w:id="50" w:name="_Toc374487740"/>
      <w:r>
        <w:rPr>
          <w:rFonts w:ascii="Times New Roman" w:hAnsi="Times New Roman"/>
          <w:color w:val="000000"/>
          <w:kern w:val="0"/>
          <w:szCs w:val="20"/>
        </w:rPr>
        <w:t>因地制宜，选择适合本地区品种，品种要求具有抗病、优质、市场前景好，并且经过省级以上审定的品种。</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以美味猕猴桃为主，秦岭北麓主栽品种为‘徐香’和‘翠香’，有序</w:t>
      </w:r>
      <w:r>
        <w:rPr>
          <w:rFonts w:ascii="宋体" w:hAnsi="宋体"/>
          <w:color w:val="000000"/>
          <w:kern w:val="0"/>
          <w:szCs w:val="20"/>
        </w:rPr>
        <w:t>推广‘农大郁香’、‘金福’、‘瑞玉’等新优品种；陕南地区以‘翠香’为主，搭配 ‘徐香’</w:t>
      </w:r>
      <w:r>
        <w:rPr>
          <w:rFonts w:hint="eastAsia" w:ascii="宋体" w:hAnsi="宋体"/>
          <w:color w:val="000000"/>
          <w:kern w:val="0"/>
          <w:szCs w:val="20"/>
        </w:rPr>
        <w:t>、</w:t>
      </w:r>
      <w:r>
        <w:rPr>
          <w:rFonts w:ascii="宋体" w:hAnsi="宋体"/>
          <w:color w:val="000000"/>
          <w:kern w:val="0"/>
          <w:szCs w:val="20"/>
        </w:rPr>
        <w:t>‘农大郁香’等</w:t>
      </w:r>
      <w:r>
        <w:rPr>
          <w:rFonts w:ascii="Times New Roman" w:hAnsi="Times New Roman"/>
          <w:color w:val="000000"/>
          <w:kern w:val="0"/>
          <w:szCs w:val="20"/>
        </w:rPr>
        <w:t>品种。中华系猕猴桃（黄肉和红心品种），原则上需要采用防护性栽培设施条件。黄肉品种可</w:t>
      </w:r>
      <w:r>
        <w:rPr>
          <w:rFonts w:ascii="宋体" w:hAnsi="宋体"/>
          <w:color w:val="000000"/>
          <w:kern w:val="0"/>
          <w:szCs w:val="20"/>
        </w:rPr>
        <w:t>选择‘农大金猕’等，红心猕猴桃品种可以选择‘脐红’、‘东红’和‘红阳’</w:t>
      </w:r>
      <w:r>
        <w:rPr>
          <w:rFonts w:ascii="Times New Roman" w:hAnsi="Times New Roman"/>
          <w:color w:val="000000"/>
          <w:kern w:val="0"/>
          <w:szCs w:val="20"/>
        </w:rPr>
        <w:t>等。</w:t>
      </w:r>
    </w:p>
    <w:bookmarkEnd w:id="50"/>
    <w:p>
      <w:pPr>
        <w:widowControl/>
        <w:adjustRightInd/>
        <w:spacing w:before="156" w:beforeLines="50" w:after="156" w:afterLines="50" w:line="360" w:lineRule="exact"/>
        <w:jc w:val="left"/>
        <w:outlineLvl w:val="3"/>
        <w:rPr>
          <w:rFonts w:ascii="Times New Roman" w:hAnsi="Times New Roman" w:eastAsia="黑体"/>
          <w:color w:val="000000"/>
          <w:kern w:val="0"/>
        </w:rPr>
      </w:pPr>
      <w:bookmarkStart w:id="51" w:name="_Toc374487741"/>
      <w:r>
        <w:rPr>
          <w:rFonts w:ascii="Times New Roman" w:hAnsi="Times New Roman" w:eastAsia="黑体"/>
          <w:color w:val="000000"/>
          <w:kern w:val="0"/>
        </w:rPr>
        <w:t>9.2  雌雄株搭配</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选择开花时间与对应品种相同或略早的花粉量大、亲和力强、高倍性的雄株，作授粉品种。</w:t>
      </w:r>
    </w:p>
    <w:p>
      <w:pPr>
        <w:pStyle w:val="109"/>
        <w:spacing w:before="312" w:after="312"/>
        <w:rPr>
          <w:szCs w:val="21"/>
        </w:rPr>
      </w:pPr>
      <w:r>
        <w:rPr>
          <w:szCs w:val="21"/>
        </w:rPr>
        <w:t>苗木定植</w:t>
      </w:r>
    </w:p>
    <w:p>
      <w:pPr>
        <w:widowControl/>
        <w:adjustRightInd/>
        <w:spacing w:before="156" w:beforeLines="50" w:after="156" w:afterLines="50" w:line="360" w:lineRule="exact"/>
        <w:jc w:val="left"/>
        <w:outlineLvl w:val="2"/>
        <w:rPr>
          <w:rFonts w:ascii="Times New Roman" w:hAnsi="Times New Roman" w:eastAsia="黑体"/>
          <w:color w:val="000000"/>
          <w:kern w:val="0"/>
        </w:rPr>
      </w:pPr>
      <w:r>
        <w:rPr>
          <w:rFonts w:ascii="Times New Roman" w:hAnsi="Times New Roman" w:eastAsia="黑体"/>
          <w:color w:val="000000"/>
          <w:kern w:val="0"/>
        </w:rPr>
        <w:t>10.1  苗木准备</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10.1.1  砧木</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中华猕猴桃</w:t>
      </w:r>
      <w:r>
        <w:rPr>
          <w:rFonts w:hint="eastAsia" w:ascii="Times New Roman" w:hAnsi="Times New Roman"/>
          <w:color w:val="000000"/>
          <w:kern w:val="0"/>
          <w:szCs w:val="20"/>
        </w:rPr>
        <w:t>和</w:t>
      </w:r>
      <w:r>
        <w:rPr>
          <w:rFonts w:ascii="Times New Roman" w:hAnsi="Times New Roman"/>
          <w:color w:val="000000"/>
          <w:kern w:val="0"/>
          <w:szCs w:val="20"/>
        </w:rPr>
        <w:t>美味猕猴桃品种</w:t>
      </w:r>
      <w:r>
        <w:rPr>
          <w:rFonts w:hint="eastAsia" w:ascii="Times New Roman" w:hAnsi="Times New Roman"/>
          <w:color w:val="000000"/>
          <w:kern w:val="0"/>
          <w:szCs w:val="20"/>
        </w:rPr>
        <w:t>，可选用野生</w:t>
      </w:r>
      <w:r>
        <w:rPr>
          <w:rFonts w:ascii="Times New Roman" w:hAnsi="Times New Roman"/>
          <w:color w:val="000000"/>
          <w:kern w:val="0"/>
          <w:szCs w:val="20"/>
        </w:rPr>
        <w:t>美味猕猴桃</w:t>
      </w:r>
      <w:r>
        <w:rPr>
          <w:rFonts w:hint="eastAsia" w:ascii="Times New Roman" w:hAnsi="Times New Roman"/>
          <w:color w:val="000000"/>
          <w:kern w:val="0"/>
          <w:szCs w:val="20"/>
        </w:rPr>
        <w:t>或者秦美、米良、贵长等实生苗</w:t>
      </w:r>
      <w:r>
        <w:rPr>
          <w:rFonts w:ascii="Times New Roman" w:hAnsi="Times New Roman"/>
          <w:color w:val="000000"/>
          <w:kern w:val="0"/>
          <w:szCs w:val="20"/>
        </w:rPr>
        <w:t>做砧木</w:t>
      </w:r>
      <w:r>
        <w:rPr>
          <w:rFonts w:hint="eastAsia" w:ascii="Times New Roman" w:hAnsi="Times New Roman"/>
          <w:color w:val="000000"/>
          <w:kern w:val="0"/>
          <w:szCs w:val="20"/>
        </w:rPr>
        <w:t>。在科学试验基础上，</w:t>
      </w:r>
      <w:r>
        <w:rPr>
          <w:rFonts w:ascii="Times New Roman" w:hAnsi="Times New Roman"/>
          <w:color w:val="000000"/>
          <w:kern w:val="0"/>
          <w:szCs w:val="20"/>
        </w:rPr>
        <w:t>选用抗性强</w:t>
      </w:r>
      <w:r>
        <w:rPr>
          <w:rFonts w:hint="eastAsia" w:ascii="Times New Roman" w:hAnsi="Times New Roman"/>
          <w:color w:val="000000"/>
          <w:kern w:val="0"/>
          <w:szCs w:val="20"/>
        </w:rPr>
        <w:t>且</w:t>
      </w:r>
      <w:r>
        <w:rPr>
          <w:rFonts w:ascii="Times New Roman" w:hAnsi="Times New Roman"/>
          <w:color w:val="000000"/>
          <w:kern w:val="0"/>
          <w:szCs w:val="20"/>
        </w:rPr>
        <w:t>无</w:t>
      </w:r>
      <w:r>
        <w:rPr>
          <w:rFonts w:ascii="宋体" w:hAnsi="宋体"/>
          <w:color w:val="000000"/>
          <w:kern w:val="0"/>
          <w:szCs w:val="20"/>
        </w:rPr>
        <w:t>“小脚”</w:t>
      </w:r>
      <w:r>
        <w:rPr>
          <w:rFonts w:ascii="Times New Roman" w:hAnsi="Times New Roman"/>
          <w:color w:val="000000"/>
          <w:kern w:val="0"/>
          <w:szCs w:val="20"/>
        </w:rPr>
        <w:t>现象的大籽、对萼</w:t>
      </w:r>
      <w:r>
        <w:rPr>
          <w:rFonts w:hint="eastAsia" w:ascii="Times New Roman" w:hAnsi="Times New Roman"/>
          <w:color w:val="000000"/>
          <w:kern w:val="0"/>
          <w:szCs w:val="20"/>
        </w:rPr>
        <w:t>猕猴桃</w:t>
      </w:r>
      <w:r>
        <w:rPr>
          <w:rFonts w:ascii="Times New Roman" w:hAnsi="Times New Roman"/>
          <w:color w:val="000000"/>
          <w:kern w:val="0"/>
          <w:szCs w:val="20"/>
        </w:rPr>
        <w:t>等作为砧木。</w:t>
      </w:r>
      <w:bookmarkEnd w:id="51"/>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10.1.2  苗木规格</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选用健壮、无病、根系发达的二级以上苗木。</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10.1.3  修根</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栽植前对受伤或霉烂的根系进行修剪，剪至健康部位，剪口平整。对长达30 cm以上的根系适当修剪，用生根粉和杀菌剂浸泡处理，放在田间保湿备用。</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10.1.4  修枝</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栽植前对苗木地上部分进行修剪，嫁接口（或根茎部）以上留3~4个饱满芽短截，疏除其余分枝。对嫁接苗成品苗解除嫁接膜。</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10.2  定植</w:t>
      </w:r>
    </w:p>
    <w:p>
      <w:pPr>
        <w:widowControl/>
        <w:adjustRightInd/>
        <w:spacing w:before="156" w:beforeLines="50" w:after="156" w:afterLines="50" w:line="360" w:lineRule="exact"/>
        <w:ind w:left="-2"/>
        <w:jc w:val="left"/>
        <w:outlineLvl w:val="3"/>
        <w:rPr>
          <w:rFonts w:ascii="Times New Roman" w:hAnsi="Times New Roman" w:eastAsia="黑体"/>
          <w:color w:val="000000"/>
          <w:kern w:val="0"/>
        </w:rPr>
      </w:pPr>
      <w:r>
        <w:rPr>
          <w:rFonts w:ascii="Times New Roman" w:hAnsi="Times New Roman" w:eastAsia="黑体"/>
          <w:color w:val="000000"/>
          <w:kern w:val="0"/>
        </w:rPr>
        <w:t>10.2.1  定植时期</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营养钵成品苗：除1~2月极寒和7~8月极热天气之外，全年均可定植。</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实生苗：秋季移栽为主，翌年2~3月或6~7月嫁接。</w:t>
      </w:r>
    </w:p>
    <w:p>
      <w:pPr>
        <w:widowControl/>
        <w:adjustRightInd/>
        <w:spacing w:before="156" w:beforeLines="50" w:after="156" w:afterLines="50" w:line="360" w:lineRule="exact"/>
        <w:ind w:left="-3"/>
        <w:jc w:val="left"/>
        <w:outlineLvl w:val="3"/>
        <w:rPr>
          <w:rFonts w:ascii="Times New Roman" w:hAnsi="Times New Roman" w:eastAsia="黑体"/>
          <w:color w:val="000000"/>
          <w:kern w:val="0"/>
        </w:rPr>
      </w:pPr>
      <w:r>
        <w:rPr>
          <w:rFonts w:ascii="Times New Roman" w:hAnsi="Times New Roman" w:eastAsia="黑体"/>
          <w:color w:val="000000"/>
          <w:kern w:val="0"/>
        </w:rPr>
        <w:t>10.2.2  定植密度</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栽植密度可根据品种特性、立地条件、管理水平、架型树形等来确定，一般可采用株行距2 m～3 m×3.5 m～4 m。</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10.2.3  定植穴</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按照园地规划的栽植行</w:t>
      </w:r>
      <w:r>
        <w:rPr>
          <w:rFonts w:ascii="Times New Roman" w:hAnsi="Times New Roman" w:eastAsia="黑体"/>
          <w:color w:val="000000"/>
          <w:kern w:val="0"/>
          <w:szCs w:val="20"/>
        </w:rPr>
        <w:t>，</w:t>
      </w:r>
      <w:r>
        <w:rPr>
          <w:rFonts w:ascii="Times New Roman" w:hAnsi="Times New Roman"/>
          <w:color w:val="000000"/>
          <w:kern w:val="0"/>
          <w:szCs w:val="20"/>
        </w:rPr>
        <w:t>采取开挖条形沟、或定植穴的办法，条形沟宽60 cm～100 cm，深度60 cm～80 cm，定植穴直径60 cm ～80 cm，深度60 cm ～80 cm。</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10.2.4  定植方法</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每穴施入腐熟有机肥20 kg~30 kg、过磷酸钙1.0 kg~1.5 kg及适量菌肥，肥料与表土充分拌匀，然后填土灌水塌实分墒后栽植；栽植时，将苗木根系摆顺，避免根系重叠、打弯，覆土到根茎部与垄面持平为准，营养钵嫁接成品苗以嫁接口露在地面以上为准；栽后浇灌一次透水。</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hint="eastAsia" w:ascii="Times New Roman" w:hAnsi="Times New Roman" w:eastAsia="黑体"/>
          <w:color w:val="000000"/>
          <w:kern w:val="0"/>
        </w:rPr>
        <w:t>10.3</w:t>
      </w:r>
      <w:r>
        <w:rPr>
          <w:rFonts w:ascii="Times New Roman" w:hAnsi="Times New Roman" w:eastAsia="黑体"/>
          <w:color w:val="000000"/>
          <w:kern w:val="0"/>
        </w:rPr>
        <w:t xml:space="preserve">  雌雄株配置</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bCs/>
          <w:color w:val="000000"/>
          <w:kern w:val="0"/>
          <w:szCs w:val="20"/>
        </w:rPr>
      </w:pPr>
      <w:r>
        <w:rPr>
          <w:rFonts w:ascii="Times New Roman" w:hAnsi="Times New Roman"/>
          <w:bCs/>
          <w:color w:val="000000"/>
          <w:kern w:val="0"/>
          <w:szCs w:val="20"/>
        </w:rPr>
        <w:t>采取自然授粉的园区，雌雄株配比为5:1</w:t>
      </w:r>
      <w:r>
        <w:rPr>
          <w:rFonts w:ascii="Times New Roman" w:hAnsi="Times New Roman"/>
          <w:color w:val="000000"/>
          <w:kern w:val="0"/>
          <w:szCs w:val="20"/>
        </w:rPr>
        <w:t>~</w:t>
      </w:r>
      <w:r>
        <w:rPr>
          <w:rFonts w:ascii="Times New Roman" w:hAnsi="Times New Roman"/>
          <w:bCs/>
          <w:color w:val="000000"/>
          <w:kern w:val="0"/>
          <w:szCs w:val="20"/>
        </w:rPr>
        <w:t>8:1。</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bCs/>
          <w:color w:val="000000"/>
          <w:kern w:val="0"/>
          <w:szCs w:val="20"/>
        </w:rPr>
      </w:pPr>
      <w:r>
        <w:rPr>
          <w:rFonts w:ascii="Times New Roman" w:hAnsi="Times New Roman"/>
          <w:bCs/>
          <w:color w:val="000000"/>
          <w:kern w:val="0"/>
          <w:szCs w:val="20"/>
        </w:rPr>
        <w:t>采取人工辅助授粉的园区，可单独规划猕猴桃雄株建园，保证雌雄株配比不高于30:1。</w:t>
      </w:r>
    </w:p>
    <w:p>
      <w:pPr>
        <w:pStyle w:val="109"/>
        <w:spacing w:before="312" w:after="312"/>
        <w:rPr>
          <w:szCs w:val="21"/>
        </w:rPr>
      </w:pPr>
      <w:r>
        <w:rPr>
          <w:szCs w:val="21"/>
        </w:rPr>
        <w:t>定植后管理</w:t>
      </w:r>
    </w:p>
    <w:p>
      <w:pPr>
        <w:widowControl/>
        <w:adjustRightInd/>
        <w:spacing w:before="156" w:beforeLines="50" w:after="156" w:afterLines="50" w:line="360" w:lineRule="exact"/>
        <w:jc w:val="left"/>
        <w:outlineLvl w:val="2"/>
        <w:rPr>
          <w:rFonts w:ascii="Times New Roman" w:hAnsi="Times New Roman" w:eastAsia="黑体"/>
          <w:color w:val="000000"/>
          <w:kern w:val="0"/>
        </w:rPr>
      </w:pPr>
      <w:r>
        <w:rPr>
          <w:rFonts w:ascii="Times New Roman" w:hAnsi="Times New Roman" w:eastAsia="黑体"/>
          <w:color w:val="000000"/>
          <w:kern w:val="0"/>
        </w:rPr>
        <w:t>11.1  平茬定干</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苗木定植后保留2~3个饱满芽平茬，大苗建园的主干可适当留高。</w:t>
      </w:r>
    </w:p>
    <w:p>
      <w:pPr>
        <w:widowControl/>
        <w:adjustRightInd/>
        <w:spacing w:before="156" w:beforeLines="50" w:after="156" w:afterLines="50" w:line="360" w:lineRule="exact"/>
        <w:jc w:val="left"/>
        <w:outlineLvl w:val="2"/>
        <w:rPr>
          <w:rFonts w:ascii="Times New Roman" w:hAnsi="Times New Roman" w:eastAsia="黑体"/>
          <w:color w:val="000000"/>
          <w:kern w:val="0"/>
        </w:rPr>
      </w:pPr>
      <w:bookmarkStart w:id="52" w:name="_Toc374487748"/>
      <w:r>
        <w:rPr>
          <w:rFonts w:ascii="Times New Roman" w:hAnsi="Times New Roman" w:eastAsia="黑体"/>
          <w:color w:val="000000"/>
          <w:kern w:val="0"/>
        </w:rPr>
        <w:t>11.2  浇水</w:t>
      </w:r>
      <w:bookmarkEnd w:id="52"/>
      <w:r>
        <w:rPr>
          <w:rFonts w:ascii="Times New Roman" w:hAnsi="Times New Roman" w:eastAsia="黑体"/>
          <w:color w:val="000000"/>
          <w:kern w:val="0"/>
        </w:rPr>
        <w:t>覆盖</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栽后及时浇足水，当地面开始黄干时继续浇水。树盘可用秸秆或地膜进行覆盖。</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11.3  插杆引绑</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春季萌芽后，选留一个生长健壮的枝蔓培养，其余抹去或摘心。在靠近苗木处插一根竹竿，将选留的枝蔓按照“8”字形绑蔓法固定在竹竿上，防止风吹折断，随着枝蔓的向上生长，每隔20 cm～30 cm绑蔓一次，牵引向上生长，避免风折或缠绕。</w:t>
      </w:r>
    </w:p>
    <w:p>
      <w:pPr>
        <w:widowControl/>
        <w:adjustRightInd/>
        <w:spacing w:before="156" w:beforeLines="50" w:after="156" w:afterLines="50" w:line="360" w:lineRule="exact"/>
        <w:jc w:val="left"/>
        <w:outlineLvl w:val="2"/>
        <w:rPr>
          <w:rFonts w:ascii="Times New Roman" w:hAnsi="Times New Roman" w:eastAsia="黑体"/>
          <w:color w:val="000000"/>
          <w:kern w:val="0"/>
        </w:rPr>
      </w:pPr>
      <w:bookmarkStart w:id="53" w:name="_Toc374487749"/>
      <w:r>
        <w:rPr>
          <w:rFonts w:ascii="Times New Roman" w:hAnsi="Times New Roman" w:eastAsia="黑体"/>
          <w:color w:val="000000"/>
          <w:kern w:val="0"/>
        </w:rPr>
        <w:t>11.4  遮阴</w:t>
      </w:r>
      <w:bookmarkEnd w:id="53"/>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栽植当年在行内、行间套种早玉米等作物以防夏季干热风危害。</w:t>
      </w:r>
    </w:p>
    <w:p>
      <w:pPr>
        <w:widowControl/>
        <w:adjustRightInd/>
        <w:spacing w:before="156" w:beforeLines="50" w:after="156" w:afterLines="50" w:line="360" w:lineRule="exact"/>
        <w:ind w:left="-2"/>
        <w:jc w:val="left"/>
        <w:outlineLvl w:val="2"/>
        <w:rPr>
          <w:rFonts w:ascii="Times New Roman" w:hAnsi="Times New Roman" w:eastAsia="黑体"/>
          <w:color w:val="000000"/>
          <w:kern w:val="0"/>
        </w:rPr>
      </w:pPr>
      <w:r>
        <w:rPr>
          <w:rFonts w:ascii="Times New Roman" w:hAnsi="Times New Roman" w:eastAsia="黑体"/>
          <w:color w:val="000000"/>
          <w:kern w:val="0"/>
        </w:rPr>
        <w:t>11.5  施肥</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szCs w:val="20"/>
        </w:rPr>
      </w:pPr>
      <w:r>
        <w:rPr>
          <w:rFonts w:ascii="Times New Roman" w:hAnsi="Times New Roman"/>
          <w:color w:val="000000"/>
          <w:kern w:val="0"/>
          <w:szCs w:val="20"/>
        </w:rPr>
        <w:t>栽植当年，当新梢长到50 cm以上时即可施肥，一般株施磷酸二铵0.1 kg，或者株施沼液、沼渣5 kg</w:t>
      </w:r>
      <w:r>
        <w:rPr>
          <w:rFonts w:hint="eastAsia" w:ascii="Times New Roman" w:hAnsi="Times New Roman"/>
          <w:color w:val="000000"/>
          <w:kern w:val="0"/>
          <w:szCs w:val="20"/>
        </w:rPr>
        <w:t>~</w:t>
      </w:r>
      <w:r>
        <w:rPr>
          <w:rFonts w:ascii="Times New Roman" w:hAnsi="Times New Roman"/>
          <w:color w:val="000000"/>
          <w:kern w:val="0"/>
          <w:szCs w:val="20"/>
        </w:rPr>
        <w:t>10 kg。</w:t>
      </w:r>
    </w:p>
    <w:p>
      <w:pPr>
        <w:pStyle w:val="62"/>
        <w:ind w:firstLine="0" w:firstLineChars="0"/>
        <w:jc w:val="center"/>
      </w:pPr>
      <w:r>
        <w:drawing>
          <wp:inline distT="0" distB="0" distL="0" distR="0">
            <wp:extent cx="1485900" cy="317500"/>
            <wp:effectExtent l="0" t="0" r="0" b="6350"/>
            <wp:docPr id="5"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1029"/>
                    <pic:cNvPicPr>
                      <a:picLocks noChangeAspect="1"/>
                    </pic:cNvPicPr>
                  </pic:nvPicPr>
                  <pic:blipFill>
                    <a:blip r:embed="rId14"/>
                    <a:stretch>
                      <a:fillRect/>
                    </a:stretch>
                  </pic:blipFill>
                  <pic:spPr>
                    <a:xfrm>
                      <a:off x="0" y="0"/>
                      <a:ext cx="1485900" cy="317500"/>
                    </a:xfrm>
                    <a:prstGeom prst="rect">
                      <a:avLst/>
                    </a:prstGeom>
                  </pic:spPr>
                </pic:pic>
              </a:graphicData>
            </a:graphic>
          </wp:inline>
        </w:drawing>
      </w:r>
      <w:bookmarkEnd w:id="21"/>
      <w:bookmarkEnd w:id="43"/>
    </w:p>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CE3222E"/>
    <w:multiLevelType w:val="multilevel"/>
    <w:tmpl w:val="0CE3222E"/>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FC91163"/>
    <w:multiLevelType w:val="multilevel"/>
    <w:tmpl w:val="1FC91163"/>
    <w:lvl w:ilvl="0" w:tentative="0">
      <w:start w:val="1"/>
      <w:numFmt w:val="decimal"/>
      <w:pStyle w:val="248"/>
      <w:suff w:val="nothing"/>
      <w:lvlText w:val="%1　"/>
      <w:lvlJc w:val="left"/>
      <w:pPr>
        <w:ind w:left="1843"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6">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4">
    <w:nsid w:val="45EE0BEA"/>
    <w:multiLevelType w:val="multilevel"/>
    <w:tmpl w:val="45EE0BEA"/>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color w:val="auto"/>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shadow/>
        <w:vanish w:val="0"/>
        <w:color w:val="000000"/>
        <w:spacing w:val="0"/>
        <w:kern w:val="0"/>
        <w:position w:val="0"/>
        <w:sz w:val="21"/>
        <w:u w:val="none"/>
        <w:vertAlign w:val="baseline"/>
        <w14:shadow w14:blurRad="0" w14:dist="0" w14:dir="0" w14:sx="0" w14:sy="0" w14:kx="0" w14:ky="0" w14:algn="none">
          <w14:srgbClr w14:val="000000"/>
        </w14:shadow>
      </w:rPr>
    </w:lvl>
    <w:lvl w:ilvl="3" w:tentative="0">
      <w:start w:val="1"/>
      <w:numFmt w:val="decimal"/>
      <w:pStyle w:val="71"/>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47CC2E21"/>
    <w:multiLevelType w:val="multilevel"/>
    <w:tmpl w:val="47CC2E21"/>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0">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2AB76A8"/>
    <w:multiLevelType w:val="multilevel"/>
    <w:tmpl w:val="62AB76A8"/>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6">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7">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9">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4"/>
  </w:num>
  <w:num w:numId="2">
    <w:abstractNumId w:val="24"/>
  </w:num>
  <w:num w:numId="3">
    <w:abstractNumId w:val="29"/>
  </w:num>
  <w:num w:numId="4">
    <w:abstractNumId w:val="9"/>
  </w:num>
  <w:num w:numId="5">
    <w:abstractNumId w:val="11"/>
  </w:num>
  <w:num w:numId="6">
    <w:abstractNumId w:val="15"/>
  </w:num>
  <w:num w:numId="7">
    <w:abstractNumId w:val="22"/>
  </w:num>
  <w:num w:numId="8">
    <w:abstractNumId w:val="25"/>
  </w:num>
  <w:num w:numId="9">
    <w:abstractNumId w:val="20"/>
  </w:num>
  <w:num w:numId="10">
    <w:abstractNumId w:val="17"/>
  </w:num>
  <w:num w:numId="11">
    <w:abstractNumId w:val="1"/>
  </w:num>
  <w:num w:numId="12">
    <w:abstractNumId w:val="23"/>
  </w:num>
  <w:num w:numId="13">
    <w:abstractNumId w:val="2"/>
  </w:num>
  <w:num w:numId="14">
    <w:abstractNumId w:val="21"/>
  </w:num>
  <w:num w:numId="15">
    <w:abstractNumId w:val="16"/>
  </w:num>
  <w:num w:numId="16">
    <w:abstractNumId w:val="4"/>
  </w:num>
  <w:num w:numId="17">
    <w:abstractNumId w:val="13"/>
  </w:num>
  <w:num w:numId="18">
    <w:abstractNumId w:val="18"/>
  </w:num>
  <w:num w:numId="19">
    <w:abstractNumId w:val="12"/>
  </w:num>
  <w:num w:numId="20">
    <w:abstractNumId w:val="10"/>
  </w:num>
  <w:num w:numId="21">
    <w:abstractNumId w:val="28"/>
  </w:num>
  <w:num w:numId="22">
    <w:abstractNumId w:val="19"/>
  </w:num>
  <w:num w:numId="23">
    <w:abstractNumId w:val="8"/>
  </w:num>
  <w:num w:numId="24">
    <w:abstractNumId w:val="6"/>
  </w:num>
  <w:num w:numId="25">
    <w:abstractNumId w:val="30"/>
  </w:num>
  <w:num w:numId="26">
    <w:abstractNumId w:val="0"/>
  </w:num>
  <w:num w:numId="27">
    <w:abstractNumId w:val="26"/>
  </w:num>
  <w:num w:numId="28">
    <w:abstractNumId w:val="7"/>
  </w:num>
  <w:num w:numId="29">
    <w:abstractNumId w:val="5"/>
  </w:num>
  <w:num w:numId="30">
    <w:abstractNumId w:val="27"/>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04639"/>
    <w:rsid w:val="001A4D84"/>
    <w:rsid w:val="0032689D"/>
    <w:rsid w:val="00477FA1"/>
    <w:rsid w:val="008050EB"/>
    <w:rsid w:val="0097696A"/>
    <w:rsid w:val="009C2EE3"/>
    <w:rsid w:val="00A15977"/>
    <w:rsid w:val="00AE076C"/>
    <w:rsid w:val="00B055D5"/>
    <w:rsid w:val="00C1442C"/>
    <w:rsid w:val="00CE1FA7"/>
    <w:rsid w:val="00D142ED"/>
    <w:rsid w:val="00FB7F15"/>
    <w:rsid w:val="47200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36">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99"/>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99"/>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9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qFormat/>
    <w:uiPriority w:val="0"/>
    <w:rPr>
      <w:rFonts w:ascii="Arial" w:hAnsi="Arial" w:eastAsia="黑体" w:cs="Times New Roman"/>
      <w:b/>
      <w:bCs/>
      <w:sz w:val="32"/>
      <w:szCs w:val="32"/>
    </w:rPr>
  </w:style>
  <w:style w:type="character" w:customStyle="1" w:styleId="40">
    <w:name w:val="标题 3 字符"/>
    <w:basedOn w:val="29"/>
    <w:link w:val="4"/>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uiPriority w:val="0"/>
    <w:rPr>
      <w:rFonts w:ascii="Calibri" w:hAnsi="Calibri" w:eastAsia="宋体" w:cs="Times New Roman"/>
      <w:b/>
      <w:bCs/>
      <w:sz w:val="28"/>
      <w:szCs w:val="28"/>
    </w:rPr>
  </w:style>
  <w:style w:type="character" w:customStyle="1" w:styleId="43">
    <w:name w:val="标题 6 字符"/>
    <w:basedOn w:val="29"/>
    <w:link w:val="7"/>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99"/>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uiPriority w:val="99"/>
    <w:rPr>
      <w:rFonts w:ascii="Calibri" w:hAnsi="Calibri" w:eastAsia="宋体" w:cs="Times New Roman"/>
      <w:sz w:val="18"/>
      <w:szCs w:val="18"/>
    </w:rPr>
  </w:style>
  <w:style w:type="character" w:customStyle="1" w:styleId="51">
    <w:name w:val="脚注文本 字符"/>
    <w:basedOn w:val="29"/>
    <w:link w:val="23"/>
    <w:semiHidden/>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numPr>
        <w:ilvl w:val="3"/>
        <w:numId w:val="1"/>
      </w:numPr>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2"/>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3"/>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5"/>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6"/>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8"/>
      </w:numPr>
      <w:adjustRightInd w:val="0"/>
      <w:snapToGrid w:val="0"/>
      <w:ind w:firstLine="200" w:firstLineChars="20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9"/>
      </w:numPr>
    </w:pPr>
  </w:style>
  <w:style w:type="paragraph" w:customStyle="1" w:styleId="99">
    <w:name w:val="标准文件_三级条标题"/>
    <w:basedOn w:val="7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0"/>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numPr>
        <w:ilvl w:val="5"/>
        <w:numId w:val="1"/>
      </w:numPr>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numPr>
        <w:ilvl w:val="0"/>
        <w:numId w:val="11"/>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numPr>
        <w:ilvl w:val="6"/>
        <w:numId w:val="1"/>
      </w:numPr>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numPr>
        <w:ilvl w:val="1"/>
        <w:numId w:val="1"/>
      </w:num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2"/>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5"/>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6"/>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7"/>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8"/>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9"/>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20"/>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9"/>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9"/>
      </w:numPr>
      <w:adjustRightInd/>
    </w:pPr>
    <w:rPr>
      <w:szCs w:val="24"/>
    </w:rPr>
  </w:style>
  <w:style w:type="paragraph" w:customStyle="1" w:styleId="164">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21"/>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22"/>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3"/>
      </w:numPr>
      <w:spacing w:line="300" w:lineRule="auto"/>
    </w:pPr>
    <w:rPr>
      <w:rFonts w:ascii="Times New Roman" w:hAnsi="Times New Roman"/>
    </w:rPr>
  </w:style>
  <w:style w:type="paragraph" w:customStyle="1" w:styleId="178">
    <w:name w:val="图表脚注说明"/>
    <w:basedOn w:val="1"/>
    <w:qFormat/>
    <w:uiPriority w:val="0"/>
    <w:pPr>
      <w:numPr>
        <w:ilvl w:val="0"/>
        <w:numId w:val="24"/>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2"/>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5"/>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6"/>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7"/>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3"/>
      </w:numPr>
      <w:ind w:firstLine="0" w:firstLineChars="0"/>
    </w:pPr>
  </w:style>
  <w:style w:type="paragraph" w:customStyle="1" w:styleId="193">
    <w:name w:val="标准文件_三级项2"/>
    <w:basedOn w:val="62"/>
    <w:qFormat/>
    <w:uiPriority w:val="0"/>
    <w:pPr>
      <w:numPr>
        <w:ilvl w:val="0"/>
        <w:numId w:val="29"/>
      </w:numPr>
      <w:spacing w:line="300" w:lineRule="exact"/>
      <w:ind w:firstLineChars="0"/>
    </w:pPr>
    <w:rPr>
      <w:rFonts w:ascii="Times New Roman"/>
    </w:rPr>
  </w:style>
  <w:style w:type="paragraph" w:customStyle="1" w:styleId="194">
    <w:name w:val="标准文件_一级项2"/>
    <w:basedOn w:val="62"/>
    <w:qFormat/>
    <w:uiPriority w:val="0"/>
    <w:pPr>
      <w:numPr>
        <w:ilvl w:val="0"/>
        <w:numId w:val="30"/>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4"/>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7"/>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7"/>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7"/>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7"/>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7"/>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uiPriority w:val="0"/>
    <w:pPr>
      <w:numPr>
        <w:ilvl w:val="1"/>
        <w:numId w:val="31"/>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uiPriority w:val="0"/>
    <w:pPr>
      <w:numPr>
        <w:ilvl w:val="0"/>
        <w:numId w:val="31"/>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uiPriority w:val="0"/>
    <w:pPr>
      <w:numPr>
        <w:ilvl w:val="2"/>
      </w:numPr>
      <w:spacing w:before="50" w:after="50"/>
      <w:outlineLvl w:val="3"/>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675</Words>
  <Characters>3852</Characters>
  <Lines>32</Lines>
  <Paragraphs>9</Paragraphs>
  <TotalTime>1</TotalTime>
  <ScaleCrop>false</ScaleCrop>
  <LinksUpToDate>false</LinksUpToDate>
  <CharactersWithSpaces>4518</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2025-02-06T08:04:00Z</dcterms:created>
  <dc:creator>Administrator</dc:creator>
  <cp:lastModifiedBy>Administrator</cp:lastModifiedBy>
  <dcterms:modified xsi:type="dcterms:W3CDTF">2025-02-07T01:13:31Z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